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[NOM DU CLUB] – LUTTE ET DISCIPLINES ASSOCIÉES</w:t>
      </w:r>
    </w:p>
    <w:p>
      <w:pPr>
        <w:jc w:val="center"/>
      </w:pPr>
      <w:r>
        <w:rPr>
          <w:b/>
          <w:sz w:val="26"/>
        </w:rPr>
        <w:t>STATUTS TYPES – ASSOCIATION LOI DU 1er JUILLET 1901</w:t>
      </w:r>
    </w:p>
    <w:p>
      <w:pPr>
        <w:jc w:val="center"/>
      </w:pPr>
      <w:r>
        <w:rPr>
          <w:i/>
        </w:rPr>
        <w:t>Modèle à adapter et à faire vérifier avant adoption</w:t>
      </w:r>
    </w:p>
    <w:p>
      <w:pPr>
        <w:pStyle w:val="Heading1"/>
      </w:pPr>
      <w:r>
        <w:t>I. Buts et composition de l’association</w:t>
      </w:r>
    </w:p>
    <w:p>
      <w:pPr>
        <w:pStyle w:val="Heading2"/>
      </w:pPr>
      <w:r>
        <w:t>Article 1 – Dénomination, objet, durée et siège</w:t>
      </w:r>
    </w:p>
    <w:p>
      <w:r>
        <w:t>Il est fondé entre les personnes qui adhèrent aux présents statuts une association régie par la loi du 1er juillet 1901 et le décret du 16 août 1901, ayant pour dénomination : « [NOM DU CLUB] – Lutte et Disciplines Associées », ci-après dénommée « l’association ».</w:t>
      </w:r>
    </w:p>
    <w:p>
      <w:r>
        <w:t>L’association a pour objet de promouvoir, organiser, développer et encadrer la pratique de la lutte et de ses disciplines associées, notamment le sambo et le grappling, ainsi que toute autre discipline autorisée par les instances compétentes et compatible avec son objet.</w:t>
      </w:r>
    </w:p>
    <w:p>
      <w:r>
        <w:t>Sa durée est illimitée. Son siège social est fixé à [adresse complète, commune, département]. Il peut être transféré dans la même commune par décision du conseil d’administration, ratifiée par la prochaine assemblée générale. Tout transfert dans une autre commune est décidé par l’assemblée générale extraordinaire. Les formalités déclaratives requises sont accomplies conformément à la réglementation.</w:t>
      </w:r>
    </w:p>
    <w:p>
      <w:r>
        <w:t>L’association peut solliciter son affiliation à la Fédération française de lutte et disciplines associées (FFLDA), sous réserve de l’acceptation de sa demande et du respect des statuts, règlements et conditions d’affiliation fédéraux en vigueur. Les adhérents pratiquant en qualité de licenciés prennent la licence fédérale requise. L’association respecte, lorsqu’il lui est applicable, le Contrat d’engagement républicain et les obligations liées aux agréments et financements publics.</w:t>
      </w:r>
    </w:p>
    <w:p>
      <w:pPr>
        <w:pStyle w:val="Heading2"/>
      </w:pPr>
      <w:r>
        <w:t>Article 2 – Moyens d’action</w:t>
      </w:r>
    </w:p>
    <w:p>
      <w:r>
        <w:t>Pour réaliser son objet, l’association peut notamment :</w:t>
      </w:r>
    </w:p>
    <w:p>
      <w:pPr>
        <w:pStyle w:val="ListBullet"/>
      </w:pPr>
      <w:r>
        <w:t>organiser des entraînements, initiations, stages, rencontres, compétitions, démonstrations et manifestations autour de la lutte, du sambo, du grappling et des disciplines associées, dans le respect des règles applicables ;</w:t>
      </w:r>
    </w:p>
    <w:p>
      <w:pPr>
        <w:pStyle w:val="ListBullet"/>
      </w:pPr>
      <w:r>
        <w:t>développer la pratique sportive, l’éducation physique, la préparation physique et l’accès au sport pour tous les publics ;</w:t>
      </w:r>
    </w:p>
    <w:p>
      <w:pPr>
        <w:pStyle w:val="ListBullet"/>
      </w:pPr>
      <w:r>
        <w:t>favoriser la pratique féminine, l’inclusion des personnes en situation de handicap et l’accueil de publics de tous âges, selon les capacités d’encadrement et de sécurité ;</w:t>
      </w:r>
    </w:p>
    <w:p>
      <w:pPr>
        <w:pStyle w:val="ListBullet"/>
      </w:pPr>
      <w:r>
        <w:t>conclure des conventions avec des établissements scolaires, universitaires, médico-sociaux, entreprises, collectivités, associations et autres partenaires ;</w:t>
      </w:r>
    </w:p>
    <w:p>
      <w:pPr>
        <w:pStyle w:val="ListBullet"/>
      </w:pPr>
      <w:r>
        <w:t>promouvoir la santé, la prévention des blessures, le respect des règles antidopage, la prévention des violences, du harcèlement, des discriminations et des comportements contraires à l’éthique sportive ;</w:t>
      </w:r>
    </w:p>
    <w:p>
      <w:pPr>
        <w:pStyle w:val="ListBullet"/>
      </w:pPr>
      <w:r>
        <w:t>former et accompagner les bénévoles, officiels et encadrants, et recourir à des éducateurs qualifiés dans les conditions prévues par la réglementation ;</w:t>
      </w:r>
    </w:p>
    <w:p>
      <w:pPr>
        <w:pStyle w:val="ListBullet"/>
      </w:pPr>
      <w:r>
        <w:t>utiliser ou louer des équipements sportifs, acquérir du matériel et conduire toute action licite se rattachant directement ou indirectement à son objet.</w:t>
      </w:r>
    </w:p>
    <w:p>
      <w:pPr>
        <w:pStyle w:val="Heading2"/>
      </w:pPr>
      <w:r>
        <w:t>Article 3 – Composition et cotisations</w:t>
      </w:r>
    </w:p>
    <w:p>
      <w:r>
        <w:t>L’association se compose de personnes physiques qui adhèrent aux présents statuts et, le cas échéant, au règlement intérieur. Les catégories de membres sont les suivantes :</w:t>
      </w:r>
    </w:p>
    <w:p>
      <w:pPr>
        <w:pStyle w:val="ListBullet"/>
      </w:pPr>
      <w:r>
        <w:t>membres actifs : personnes admises par l’association, participant à ses activités et s’acquittant de la cotisation annuelle ainsi que, lorsqu’elle est requise, de la licence fédérale ;</w:t>
      </w:r>
    </w:p>
    <w:p>
      <w:pPr>
        <w:pStyle w:val="ListBullet"/>
      </w:pPr>
      <w:r>
        <w:t>membres bienfaiteurs : personnes apportant un soutien financier ou matériel particulier, selon les conditions fixées par le conseil d’administration ;</w:t>
      </w:r>
    </w:p>
    <w:p>
      <w:pPr>
        <w:pStyle w:val="ListBullet"/>
      </w:pPr>
      <w:r>
        <w:t>membres d’honneur : personnes auxquelles le conseil d’administration souhaite rendre hommage pour les services rendus à l’association.</w:t>
      </w:r>
    </w:p>
    <w:p>
      <w:r>
        <w:t>Le montant des cotisations et les modalités de paiement sont fixés chaque année par l’assemblée générale sur proposition du conseil d’administration. Les cotisations et licences éventuellement dues sont distinctes, le cas échéant.</w:t>
      </w:r>
    </w:p>
    <w:p>
      <w:r>
        <w:t>Sauf décision contraire expresse de l’assemblée générale, seuls les membres actifs à jour de leurs obligations disposent du droit de vote. Les membres bienfaiteurs et d’honneur ne disposent d’un droit de vote que s’ils sont également membres actifs. Les membres d’honneur peuvent être invités à participer aux assemblées avec voix consultative.</w:t>
      </w:r>
    </w:p>
    <w:p>
      <w:pPr>
        <w:pStyle w:val="Heading2"/>
      </w:pPr>
      <w:r>
        <w:t>Article 4 – Admission, démission, radiation et perte de la qualité de membre</w:t>
      </w:r>
    </w:p>
    <w:p>
      <w:r>
        <w:t>L’admission est soumise à l’acceptation des présents statuts, du règlement intérieur et des règles de sécurité applicables. Le conseil d’administration peut préciser les modalités d’inscription et d’adhésion.</w:t>
      </w:r>
    </w:p>
    <w:p>
      <w:r>
        <w:t>La qualité de membre se perd par :</w:t>
      </w:r>
    </w:p>
    <w:p>
      <w:pPr>
        <w:pStyle w:val="ListBullet"/>
      </w:pPr>
      <w:r>
        <w:t>la démission adressée par écrit à l’association ;</w:t>
      </w:r>
    </w:p>
    <w:p>
      <w:pPr>
        <w:pStyle w:val="ListBullet"/>
      </w:pPr>
      <w:r>
        <w:t>le décès ;</w:t>
      </w:r>
    </w:p>
    <w:p>
      <w:pPr>
        <w:pStyle w:val="ListBullet"/>
      </w:pPr>
      <w:r>
        <w:t>le non-paiement de la cotisation après rappel et expiration d’un délai raisonnable fixé par le règlement intérieur ;</w:t>
      </w:r>
    </w:p>
    <w:p>
      <w:pPr>
        <w:pStyle w:val="ListBullet"/>
      </w:pPr>
      <w:r>
        <w:t>la radiation pour motif sérieux, notamment en cas de manquement aux statuts, au règlement intérieur, aux règles de sécurité ou à l’éthique sportive.</w:t>
      </w:r>
    </w:p>
    <w:p>
      <w:r>
        <w:t>Toute radiation disciplinaire est prononcée par le conseil d’administration après que l’intéressé a été informé des griefs retenus et mis en mesure de présenter ses observations, par écrit et/ou oralement. La décision est motivée et notifiée à l’intéressé. Un recours peut être porté devant la prochaine assemblée générale, selon les modalités prévues par le règlement intérieur. Les procédures fédérales applicables demeurent indépendantes.</w:t>
      </w:r>
    </w:p>
    <w:p>
      <w:pPr>
        <w:pStyle w:val="Heading1"/>
      </w:pPr>
      <w:r>
        <w:t>II. Administration et fonctionnement</w:t>
      </w:r>
    </w:p>
    <w:p>
      <w:pPr>
        <w:pStyle w:val="Heading2"/>
      </w:pPr>
      <w:r>
        <w:t>Article 5 – Assemblée générale ordinaire</w:t>
      </w:r>
    </w:p>
    <w:p>
      <w:r>
        <w:t>L’assemblée générale ordinaire comprend les membres disposant du droit de vote, à jour de leurs cotisations et remplissant les conditions prévues à l’article 3. Les salariés non membres peuvent être invités par le président et assistent alors avec voix consultative.</w:t>
      </w:r>
    </w:p>
    <w:p>
      <w:r>
        <w:t>Elle se réunit au moins une fois par an et chaque fois qu’elle est convoquée par le conseil d’administration ou à la demande d’au moins un tiers des membres disposant du droit de vote. La convocation, accompagnée de l’ordre du jour, est adressée au moins quinze jours avant la réunion, par tout moyen écrit prévu par le règlement intérieur.</w:t>
      </w:r>
    </w:p>
    <w:p>
      <w:r>
        <w:t>L’assemblée peut se tenir en présentiel, à distance ou sous une forme hybride si les moyens retenus permettent l’identification des participants, leur participation effective et la sincérité des votes. Les modalités techniques sont précisées par le règlement intérieur.</w:t>
      </w:r>
    </w:p>
    <w:p>
      <w:r>
        <w:t>L’assemblée délibère sur les questions inscrites à l’ordre du jour. Elle entend les rapports moral, d’activité et financier, approuve les comptes de l’exercice clos, vote le budget prévisionnel, fixe les orientations générales et le montant des cotisations, élit les administrateurs et statue sur les questions relevant de sa compétence.</w:t>
      </w:r>
    </w:p>
    <w:p>
      <w:r>
        <w:t>Le vote par procuration est autorisé. Chaque membre présent ne peut détenir plus de deux procurations en plus de la sienne. Le vote à distance peut être organisé dans les conditions prévues au règlement intérieur. Sauf disposition contraire des présents statuts, les décisions sont prises à la majorité des suffrages exprimés ; les abstentions, votes blancs et votes nuls ne sont pas comptés parmi les suffrages exprimés. En cas de partage égal, la voix du président de séance est prépondérante, sauf pour les élections au scrutin secret.</w:t>
      </w:r>
    </w:p>
    <w:p>
      <w:r>
        <w:t>Un procès-verbal est établi pour chaque assemblée et conservé au siège de l’association. Le rapport annuel et les comptes approuvés sont tenus à la disposition des membres.</w:t>
      </w:r>
    </w:p>
    <w:p>
      <w:pPr>
        <w:pStyle w:val="Heading2"/>
      </w:pPr>
      <w:r>
        <w:t>Article 6 – Assemblée générale extraordinaire</w:t>
      </w:r>
    </w:p>
    <w:p>
      <w:r>
        <w:t>Une assemblée générale extraordinaire est convoquée pour modifier les statuts, décider d’une fusion, d’une transformation ou de la dissolution de l’association, ou statuer sur toute question que le conseil d’administration estime exceptionnelle.</w:t>
      </w:r>
    </w:p>
    <w:p>
      <w:r>
        <w:t>Elle est convoquée selon les modalités prévues à l’article 5, avec un ordre du jour explicite. Les modifications statutaires sont adoptées à la majorité des deux tiers des suffrages exprimés des membres présents ou représentés, sous réserve que le quart au moins des membres disposant du droit de vote participe à l’assemblée.</w:t>
      </w:r>
    </w:p>
    <w:p>
      <w:r>
        <w:t>Si le quorum n’est pas atteint, une seconde assemblée est convoquée au moins quinze jours plus tard ; elle délibère alors sans condition de quorum. La dissolution obéit aux règles particulières de l’article 19.</w:t>
      </w:r>
    </w:p>
    <w:p>
      <w:pPr>
        <w:pStyle w:val="Heading2"/>
      </w:pPr>
      <w:r>
        <w:t>Article 7 – Conseil d’administration : composition et élection</w:t>
      </w:r>
    </w:p>
    <w:p>
      <w:r>
        <w:t>L’association est administrée par un conseil d’administration composé de [5 à 15] membres, nombre fixé par l’assemblée générale. Les administrateurs sont élus par l’assemblée générale pour une durée de quatre ans. Ils sont rééligibles. Le renouvellement peut être organisé par moitié si l’assemblée générale en décide ainsi et que les modalités sont consignées au procès-verbal.</w:t>
      </w:r>
    </w:p>
    <w:p>
      <w:r>
        <w:t>Sont éligibles les membres actifs âgés d’au moins 18 ans à la date de l’élection, à jour de leurs cotisations et adhérents depuis au moins un an, sauf décision de l’assemblée générale prévoyant une condition moins restrictive. Les conditions particulières relatives aux mineurs, à la représentation légale et à l’exercice des responsabilités sont appliquées conformément à la législation en vigueur.</w:t>
      </w:r>
    </w:p>
    <w:p>
      <w:r>
        <w:t>En cas de vacance, le conseil d’administration peut coopter provisoirement un membre jusqu’à la prochaine assemblée générale, qui procède à la ratification ou à l’élection d’un remplaçant. Le mandat du remplaçant prend fin à la date à laquelle aurait expiré celui de la personne remplacée.</w:t>
      </w:r>
    </w:p>
    <w:p>
      <w:r>
        <w:t>Tout administrateur peut démissionner par écrit. La révocation d’un administrateur relève de l’assemblée générale, après inscription à l’ordre du jour et respect de ses droits de défense.</w:t>
      </w:r>
    </w:p>
    <w:p>
      <w:pPr>
        <w:pStyle w:val="Heading2"/>
      </w:pPr>
      <w:r>
        <w:t>Article 8 – Attributions du conseil d’administration</w:t>
      </w:r>
    </w:p>
    <w:p>
      <w:r>
        <w:t>Le conseil d’administration met en œuvre les orientations votées par l’assemblée générale et assure la gestion courante de l’association. Il prépare le budget, arrête les comptes avant leur présentation à l’assemblée générale, suit les activités, adopte les mesures nécessaires au fonctionnement et veille au respect des obligations légales, fédérales et de sécurité.</w:t>
      </w:r>
    </w:p>
    <w:p>
      <w:r>
        <w:t>Il décide de l’admission et des mesures disciplinaires dans les conditions prévues aux présents statuts, prépare les propositions de cotisations, propose le règlement intérieur et peut créer des commissions ou désigner des responsables d’activité.</w:t>
      </w:r>
    </w:p>
    <w:p>
      <w:r>
        <w:t>Il autorise les actes qui excèdent la gestion courante, dans les limites du budget approuvé et des délégations consenties. Les acquisitions ou cessions immobilières, emprunts importants, garanties et engagements exceptionnels sont soumis à l’approbation de l’assemblée générale lorsque la loi, les présents statuts ou une délibération de celle-ci l’exigent.</w:t>
      </w:r>
    </w:p>
    <w:p>
      <w:r>
        <w:t>Le conseil d’administration fixe les conditions de recrutement et de rémunération des salariés, dans le respect du budget, du droit du travail et des règles applicables à l’encadrement sportif.</w:t>
      </w:r>
    </w:p>
    <w:p>
      <w:pPr>
        <w:pStyle w:val="Heading2"/>
      </w:pPr>
      <w:r>
        <w:t>Article 9 – Réunions et délibérations du conseil d’administration</w:t>
      </w:r>
    </w:p>
    <w:p>
      <w:r>
        <w:t>Le conseil d’administration se réunit au moins deux fois par an et chaque fois qu’il est convoqué par le président ou à la demande d’au moins un tiers de ses membres. La convocation précise l’ordre du jour et est adressée dans un délai raisonnable.</w:t>
      </w:r>
    </w:p>
    <w:p>
      <w:r>
        <w:t>Le conseil délibère valablement si au moins un tiers de ses membres en exercice participe à la réunion. Les participations par visioconférence ou moyen de télécommunication permettant l’identification et la participation effective sont prises en compte. Les procurations ne comptent pas pour le quorum ; chaque administrateur présent ne peut détenir qu’une procuration.</w:t>
      </w:r>
    </w:p>
    <w:p>
      <w:r>
        <w:t>Les décisions sont prises à la majorité des suffrages exprimés. En cas de partage égal, la voix du président est prépondérante, sauf pour les élections au scrutin secret. Un procès-verbal est établi et conservé au siège de l’association.</w:t>
      </w:r>
    </w:p>
    <w:p>
      <w:r>
        <w:t>Le président peut inviter toute personne dont l’avis est utile à participer avec voix consultative. Le conseil peut décider de poursuivre ses échanges à huis clos.</w:t>
      </w:r>
    </w:p>
    <w:p>
      <w:pPr>
        <w:pStyle w:val="Heading2"/>
      </w:pPr>
      <w:r>
        <w:t>Article 10 – Gratuité des fonctions et prévention des conflits d’intérêts</w:t>
      </w:r>
    </w:p>
    <w:p>
      <w:r>
        <w:t>Les fonctions d’administrateur et de membre du bureau sont bénévoles. Les frais engagés dans l’intérêt de l’association peuvent être remboursés sur présentation de justificatifs, selon les règles adoptées par le conseil d’administration et dans la limite des ressources disponibles.</w:t>
      </w:r>
    </w:p>
    <w:p>
      <w:r>
        <w:t>Les administrateurs et personnes participant aux réunions sont tenus à la discrétion concernant les informations confidentielles. Tout administrateur qui se trouve dans une situation de conflit d’intérêts réel, potentiel ou apparent en informe le conseil d’administration et ne prend part ni aux débats ni au vote sur la décision concernée. Cette abstention est mentionnée au procès-verbal.</w:t>
      </w:r>
    </w:p>
    <w:p>
      <w:r>
        <w:t>Toute rémunération éventuelle d’une activité distincte du mandat bénévole doit être autorisée et encadrée conformément à la loi, aux règles fiscales et sociales et aux règles fédérales applicables.</w:t>
      </w:r>
    </w:p>
    <w:p>
      <w:pPr>
        <w:pStyle w:val="Heading2"/>
      </w:pPr>
      <w:r>
        <w:t>Article 11 – Bureau</w:t>
      </w:r>
    </w:p>
    <w:p>
      <w:r>
        <w:t>Après chaque renouvellement du conseil d’administration, celui-ci élit en son sein, au scrutin secret si un administrateur le demande, un bureau composé au minimum d’un président, d’un trésorier et d’un secrétaire. Il peut également comprendre un ou plusieurs vice-présidents, un trésorier adjoint et un secrétaire adjoint.</w:t>
      </w:r>
    </w:p>
    <w:p>
      <w:r>
        <w:t>Les membres du bureau sont élus pour la durée de leur mandat d’administrateur. Le conseil d’administration peut mettre fin à leurs fonctions au bureau pour juste motif, après les avoir mis en mesure de présenter leurs observations, sans que cette décision mette automatiquement fin à leur mandat d’administrateur.</w:t>
      </w:r>
    </w:p>
    <w:p>
      <w:r>
        <w:t>Le bureau prépare les travaux du conseil d’administration et veille à l’exécution de ses décisions. Il peut se réunir en présentiel ou à distance dans les conditions prévues par le règlement intérieur.</w:t>
      </w:r>
    </w:p>
    <w:p>
      <w:pPr>
        <w:pStyle w:val="Heading2"/>
      </w:pPr>
      <w:r>
        <w:t>Article 12 – Président</w:t>
      </w:r>
    </w:p>
    <w:p>
      <w:r>
        <w:t>Le président représente l’association dans les actes de la vie civile et, dans les limites prévues par la loi, en justice. Il veille à l’exécution des décisions de l’assemblée générale et du conseil d’administration, convoque et préside les réunions, et ordonne les dépenses dans le cadre du budget adopté et des délégations accordées.</w:t>
      </w:r>
    </w:p>
    <w:p>
      <w:r>
        <w:t>Il peut déléguer par écrit certaines attributions à un membre du bureau ou à un administrateur, dans des limites précises et révocables. Les représentants de l’association doivent disposer de la capacité juridique requise.</w:t>
      </w:r>
    </w:p>
    <w:p>
      <w:pPr>
        <w:pStyle w:val="Heading2"/>
      </w:pPr>
      <w:r>
        <w:t>Article 13 – Trésorier et secrétaire</w:t>
      </w:r>
    </w:p>
    <w:p>
      <w:r>
        <w:t>Le trésorier suit les recettes et les dépenses, veille à la tenue régulière des comptes et prépare, avec le président et les personnes compétentes, les documents financiers soumis au conseil d’administration et à l’assemblée générale. Les moyens de paiement sont utilisés selon les délégations et contrôles internes définis par le conseil d’administration.</w:t>
      </w:r>
    </w:p>
    <w:p>
      <w:r>
        <w:t>Le secrétaire assure le suivi administratif, prépare les convocations et procès-verbaux, conserve les documents statutaires et tient à jour les registres et listes nécessaires au fonctionnement de l’association, dans le respect des règles de protection des données personnelles.</w:t>
      </w:r>
    </w:p>
    <w:p>
      <w:pPr>
        <w:pStyle w:val="Heading1"/>
      </w:pPr>
      <w:r>
        <w:t>III. Ressources et comptabilité</w:t>
      </w:r>
    </w:p>
    <w:p>
      <w:pPr>
        <w:pStyle w:val="Heading2"/>
      </w:pPr>
      <w:r>
        <w:t>Article 14 – Ressources</w:t>
      </w:r>
    </w:p>
    <w:p>
      <w:r>
        <w:t>Les ressources de l’association comprennent notamment :</w:t>
      </w:r>
    </w:p>
    <w:p>
      <w:pPr>
        <w:pStyle w:val="ListBullet"/>
      </w:pPr>
      <w:r>
        <w:t>les cotisations, droits d’adhésion et participations aux activités ;</w:t>
      </w:r>
    </w:p>
    <w:p>
      <w:pPr>
        <w:pStyle w:val="ListBullet"/>
      </w:pPr>
      <w:r>
        <w:t>les subventions de l’État, des collectivités territoriales, des établissements publics et organismes compétents ;</w:t>
      </w:r>
    </w:p>
    <w:p>
      <w:pPr>
        <w:pStyle w:val="ListBullet"/>
      </w:pPr>
      <w:r>
        <w:t>les aides, dotations et soutiens autorisés provenant des instances sportives fédérales, départementales ou régionales ;</w:t>
      </w:r>
    </w:p>
    <w:p>
      <w:pPr>
        <w:pStyle w:val="ListBullet"/>
      </w:pPr>
      <w:r>
        <w:t>les dons manuels, mécénats, contributions et libéralités autorisés par les textes applicables ;</w:t>
      </w:r>
    </w:p>
    <w:p>
      <w:pPr>
        <w:pStyle w:val="ListBullet"/>
      </w:pPr>
      <w:r>
        <w:t>les recettes des stages, manifestations, compétitions, ventes accessoires, buvettes et activités annexes autorisées ;</w:t>
      </w:r>
    </w:p>
    <w:p>
      <w:pPr>
        <w:pStyle w:val="ListBullet"/>
      </w:pPr>
      <w:r>
        <w:t>les revenus des biens appartenant à l’association ;</w:t>
      </w:r>
    </w:p>
    <w:p>
      <w:pPr>
        <w:pStyle w:val="ListBullet"/>
      </w:pPr>
      <w:r>
        <w:t>toute autre ressource licite compatible avec son objet et la réglementation en vigueur.</w:t>
      </w:r>
    </w:p>
    <w:p>
      <w:r>
        <w:t>Les ressources sont exclusivement affectées à la réalisation de l’objet associatif. Aucun bénéfice ne peut être distribué aux membres, sous réserve du remboursement de frais dûment justifiés et des rémunérations légalement autorisées.</w:t>
      </w:r>
    </w:p>
    <w:p>
      <w:pPr>
        <w:pStyle w:val="Heading2"/>
      </w:pPr>
      <w:r>
        <w:t>Article 15 – Comptabilité et exercice social</w:t>
      </w:r>
    </w:p>
    <w:p>
      <w:r>
        <w:t>L’association tient une comptabilité adaptée à son activité et conforme aux obligations légales et réglementaires qui lui sont applicables. Elle établit au minimum les documents comptables nécessaires à l’approbation annuelle des comptes par l’assemblée générale.</w:t>
      </w:r>
    </w:p>
    <w:p>
      <w:r>
        <w:t>L’exercice social commence le [date] et se termine le [date] de chaque année. À défaut de précision, il correspond à l’année civile. Lorsque les seuils ou conditions légaux sont réunis, l’association désigne un commissaire aux comptes et accomplit les obligations correspondantes.</w:t>
      </w:r>
    </w:p>
    <w:p>
      <w:pPr>
        <w:pStyle w:val="Heading1"/>
      </w:pPr>
      <w:r>
        <w:t>IV. Modification des statuts, dissolution</w:t>
      </w:r>
    </w:p>
    <w:p>
      <w:pPr>
        <w:pStyle w:val="Heading2"/>
      </w:pPr>
      <w:r>
        <w:t>Article 16 – Modification des statuts</w:t>
      </w:r>
    </w:p>
    <w:p>
      <w:r>
        <w:t>Les statuts ne peuvent être modifiés que par l’assemblée générale extraordinaire, sur proposition du conseil d’administration ou à la demande écrite d’au moins un tiers des membres disposant du droit de vote. La proposition est inscrite à l’ordre du jour et communiquée avec la convocation au moins quinze jours à l’avance.</w:t>
      </w:r>
    </w:p>
    <w:p>
      <w:r>
        <w:t>Les conditions de quorum et de majorité sont celles prévues à l’article 6. Les modifications adoptées sont déclarées aux autorités compétentes dans les délais légaux.</w:t>
      </w:r>
    </w:p>
    <w:p>
      <w:pPr>
        <w:pStyle w:val="Heading2"/>
      </w:pPr>
      <w:r>
        <w:t>Article 17 – Fusion ou transformation</w:t>
      </w:r>
    </w:p>
    <w:p>
      <w:r>
        <w:t>Tout projet de fusion, de scission ou de transformation de l’association est soumis à une assemblée générale extraordinaire spécialement convoquée. Les conditions de vote sont celles prévues à l’article 6, sauf disposition légale impérative contraire.</w:t>
      </w:r>
    </w:p>
    <w:p>
      <w:pPr>
        <w:pStyle w:val="Heading2"/>
      </w:pPr>
      <w:r>
        <w:t>Article 18 – Dissolution</w:t>
      </w:r>
    </w:p>
    <w:p>
      <w:r>
        <w:t>La dissolution volontaire de l’association ne peut être prononcée que par une assemblée générale extraordinaire convoquée spécialement à cet effet. La décision requiert la participation de plus de la moitié des membres disposant du droit de vote. Si ce quorum n’est pas atteint, une seconde assemblée est convoquée au moins quinze jours plus tard et peut délibérer quel que soit le nombre de membres présents ou représentés.</w:t>
      </w:r>
    </w:p>
    <w:p>
      <w:r>
        <w:t>La dissolution est adoptée à la majorité des deux tiers des suffrages exprimés. Les formalités déclaratives prévues par la réglementation sont accomplies.</w:t>
      </w:r>
    </w:p>
    <w:p>
      <w:pPr>
        <w:pStyle w:val="Heading2"/>
      </w:pPr>
      <w:r>
        <w:t>Article 19 – Liquidation et dévolution des biens</w:t>
      </w:r>
    </w:p>
    <w:p>
      <w:r>
        <w:t>En cas de dissolution, l’assemblée générale désigne un ou plusieurs liquidateurs et définit leurs pouvoirs. Après règlement du passif, l’actif net est attribué à un organisme sans but lucratif poursuivant un objet similaire ou à un organisme d’intérêt général, conformément à la décision de l’assemblée générale et à la réglementation applicable.</w:t>
      </w:r>
    </w:p>
    <w:p>
      <w:r>
        <w:t>Aucun membre ne peut recevoir une part de l’actif, sous réserve de la reprise éventuelle d’un apport dans les conditions légalement admises.</w:t>
      </w:r>
    </w:p>
    <w:p>
      <w:pPr>
        <w:pStyle w:val="Heading1"/>
      </w:pPr>
      <w:r>
        <w:t>V. Déclarations, règlement intérieur et dispositions finales</w:t>
      </w:r>
    </w:p>
    <w:p>
      <w:pPr>
        <w:pStyle w:val="Heading2"/>
      </w:pPr>
      <w:r>
        <w:t>Article 20 – Déclarations et relations fédérales</w:t>
      </w:r>
    </w:p>
    <w:p>
      <w:r>
        <w:t>Le président, ou toute personne mandatée à cet effet, accomplit les déclarations de création, de modification et de dissolution auprès des autorités compétentes dans les délais légaux.</w:t>
      </w:r>
    </w:p>
    <w:p>
      <w:r>
        <w:t>Lorsque l’association est affiliée à la FFLDA, elle transmet aux instances fédérales les rapports, listes et documents exigés par les statuts et règlements fédéraux en vigueur. Elle respecte les règles fédérales applicables aux licences, compétitions, disciplines, encadrement, sécurité et discipline.</w:t>
      </w:r>
    </w:p>
    <w:p>
      <w:pPr>
        <w:pStyle w:val="Heading2"/>
      </w:pPr>
      <w:r>
        <w:t>Article 21 – Règlement intérieur</w:t>
      </w:r>
    </w:p>
    <w:p>
      <w:r>
        <w:t>Un règlement intérieur, préparé par le conseil d’administration et approuvé par l’assemblée générale, précise les modalités pratiques d’application des présents statuts, notamment les inscriptions, cotisations, règles de vie, sécurité des entraînements, procédures disciplinaires, votes à distance, remboursements de frais et délégations.</w:t>
      </w:r>
    </w:p>
    <w:p>
      <w:r>
        <w:t>Le règlement intérieur ne peut contredire les présents statuts ni les dispositions légales ou réglementaires applicables. Toute approbation préalable d’une instance fédérale n’est requise que si les textes fédéraux en vigueur le prévoient.</w:t>
      </w:r>
    </w:p>
    <w:p>
      <w:pPr>
        <w:pStyle w:val="Heading2"/>
      </w:pPr>
      <w:r>
        <w:t>Article 22 – Adoption des statuts</w:t>
      </w:r>
    </w:p>
    <w:p>
      <w:r>
        <w:t>Les présents statuts ont été adoptés par l’assemblée générale constitutive tenue à [commune], le [date].</w:t>
      </w:r>
    </w:p>
    <w:p>
      <w:r>
        <w:t>Fait à [commune], le [date].</w:t>
      </w:r>
    </w:p>
    <w:p>
      <w:r>
        <w:t>Le président : __________________________</w:t>
      </w:r>
    </w:p>
    <w:p>
      <w:r>
        <w:t>Le secrétaire : __________________________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[NOM DU CLUB] – Statuts types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